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rPr>
          <w:rFonts w:hint="eastAsia" w:ascii="仿宋_GB2312" w:hAnsi="黑体" w:eastAsia="仿宋_GB2312" w:cs="宋体"/>
          <w:color w:val="000000"/>
          <w:sz w:val="30"/>
          <w:szCs w:val="30"/>
          <w:lang w:val="en-US" w:eastAsia="zh-CN"/>
        </w:rPr>
      </w:pPr>
      <w:r>
        <w:rPr>
          <w:rFonts w:hint="eastAsia" w:ascii="仿宋_GB2312" w:hAnsi="黑体" w:eastAsia="仿宋_GB2312" w:cs="宋体"/>
          <w:color w:val="000000"/>
          <w:sz w:val="30"/>
          <w:szCs w:val="30"/>
        </w:rPr>
        <w:t xml:space="preserve">附件 </w:t>
      </w:r>
      <w:r>
        <w:rPr>
          <w:rFonts w:hint="eastAsia" w:ascii="仿宋_GB2312" w:hAnsi="黑体" w:eastAsia="仿宋_GB2312" w:cs="宋体"/>
          <w:color w:val="000000"/>
          <w:sz w:val="30"/>
          <w:szCs w:val="30"/>
          <w:lang w:val="en-US" w:eastAsia="zh-CN"/>
        </w:rPr>
        <w:t>1</w:t>
      </w:r>
    </w:p>
    <w:p>
      <w:pPr>
        <w:widowControl/>
        <w:spacing w:line="540" w:lineRule="exact"/>
        <w:ind w:firstLine="720" w:firstLineChars="200"/>
        <w:rPr>
          <w:rFonts w:ascii="方正小标宋简体" w:hAnsi="黑体" w:eastAsia="方正小标宋简体" w:cs="宋体"/>
          <w:color w:val="000000"/>
          <w:sz w:val="36"/>
          <w:szCs w:val="36"/>
        </w:rPr>
      </w:pPr>
    </w:p>
    <w:p>
      <w:pPr>
        <w:autoSpaceDE w:val="0"/>
        <w:autoSpaceDN w:val="0"/>
        <w:spacing w:line="540" w:lineRule="exact"/>
        <w:ind w:left="210" w:leftChars="100" w:right="1218" w:firstLine="628" w:firstLineChars="200"/>
        <w:jc w:val="center"/>
        <w:outlineLvl w:val="0"/>
        <w:rPr>
          <w:rFonts w:ascii="方正小标宋简体" w:hAnsi="宋体" w:eastAsia="方正小标宋简体" w:cs="宋体"/>
          <w:spacing w:val="-14"/>
          <w:kern w:val="0"/>
          <w:sz w:val="36"/>
          <w:szCs w:val="36"/>
        </w:rPr>
      </w:pPr>
      <w:r>
        <w:rPr>
          <w:rFonts w:hint="eastAsia" w:ascii="方正小标宋简体" w:hAnsi="宋体" w:eastAsia="方正小标宋简体" w:cs="宋体"/>
          <w:spacing w:val="-23"/>
          <w:kern w:val="0"/>
          <w:sz w:val="36"/>
          <w:szCs w:val="36"/>
          <w:lang w:eastAsia="en-US"/>
        </w:rPr>
        <w:t xml:space="preserve">关于组织 </w:t>
      </w:r>
      <w:r>
        <w:rPr>
          <w:rFonts w:hint="eastAsia" w:ascii="方正小标宋简体" w:hAnsi="宋体" w:eastAsia="方正小标宋简体" w:cs="宋体"/>
          <w:kern w:val="0"/>
          <w:sz w:val="36"/>
          <w:szCs w:val="36"/>
          <w:lang w:eastAsia="en-US"/>
        </w:rPr>
        <w:t>2020</w:t>
      </w:r>
      <w:r>
        <w:rPr>
          <w:rFonts w:hint="eastAsia" w:ascii="方正小标宋简体" w:hAnsi="宋体" w:eastAsia="方正小标宋简体" w:cs="宋体"/>
          <w:spacing w:val="-14"/>
          <w:kern w:val="0"/>
          <w:sz w:val="36"/>
          <w:szCs w:val="36"/>
          <w:lang w:eastAsia="en-US"/>
        </w:rPr>
        <w:t>年福建省哲学社会科学</w:t>
      </w:r>
    </w:p>
    <w:p>
      <w:pPr>
        <w:autoSpaceDE w:val="0"/>
        <w:autoSpaceDN w:val="0"/>
        <w:spacing w:line="540" w:lineRule="exact"/>
        <w:ind w:left="210" w:leftChars="100" w:right="1218" w:firstLine="720" w:firstLineChars="200"/>
        <w:jc w:val="center"/>
        <w:outlineLvl w:val="0"/>
        <w:rPr>
          <w:rFonts w:ascii="方正小标宋简体" w:hAnsi="宋体" w:eastAsia="方正小标宋简体" w:cs="宋体"/>
          <w:kern w:val="0"/>
          <w:sz w:val="36"/>
          <w:szCs w:val="36"/>
        </w:rPr>
      </w:pPr>
      <w:r>
        <w:rPr>
          <w:rFonts w:hint="eastAsia" w:ascii="方正小标宋简体" w:hAnsi="宋体" w:eastAsia="方正小标宋简体" w:cs="宋体"/>
          <w:kern w:val="0"/>
          <w:sz w:val="36"/>
          <w:szCs w:val="36"/>
          <w:lang w:eastAsia="en-US"/>
        </w:rPr>
        <w:t>教学科研骨干研修的实施方案</w:t>
      </w:r>
    </w:p>
    <w:p>
      <w:pPr>
        <w:autoSpaceDE w:val="0"/>
        <w:autoSpaceDN w:val="0"/>
        <w:spacing w:line="540" w:lineRule="exact"/>
        <w:ind w:left="210" w:leftChars="100" w:right="1218" w:firstLine="720" w:firstLineChars="200"/>
        <w:outlineLvl w:val="0"/>
        <w:rPr>
          <w:rFonts w:ascii="方正小标宋简体" w:hAnsi="宋体" w:eastAsia="方正小标宋简体" w:cs="宋体"/>
          <w:kern w:val="0"/>
          <w:sz w:val="36"/>
          <w:szCs w:val="36"/>
        </w:rPr>
      </w:pPr>
    </w:p>
    <w:p>
      <w:pPr>
        <w:autoSpaceDE w:val="0"/>
        <w:autoSpaceDN w:val="0"/>
        <w:spacing w:line="540" w:lineRule="exact"/>
        <w:ind w:left="133" w:right="425"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根据中宣部等中央六部门《关于印发〈2020—2024年哲学社会科学教学科研骨干研修工作规划〉的通知》和《2020—2024年福建省哲学社会科学教学科研骨干研修工作规划》的精神，为 组织好 2020年我省哲学社会科学教学科研骨干研修工作，特制定本实施方案。</w:t>
      </w:r>
    </w:p>
    <w:p>
      <w:pPr>
        <w:autoSpaceDE w:val="0"/>
        <w:autoSpaceDN w:val="0"/>
        <w:spacing w:line="540" w:lineRule="exact"/>
        <w:ind w:left="774"/>
        <w:rPr>
          <w:rFonts w:ascii="仿宋_GB2312" w:hAnsi="宋体" w:eastAsia="仿宋_GB2312" w:cs="宋体"/>
          <w:b/>
          <w:kern w:val="0"/>
          <w:sz w:val="30"/>
          <w:szCs w:val="30"/>
          <w:lang w:eastAsia="en-US"/>
        </w:rPr>
      </w:pPr>
      <w:r>
        <w:rPr>
          <w:rFonts w:hint="eastAsia" w:ascii="仿宋_GB2312" w:hAnsi="宋体" w:eastAsia="仿宋_GB2312" w:cs="宋体"/>
          <w:b/>
          <w:kern w:val="0"/>
          <w:sz w:val="30"/>
          <w:szCs w:val="30"/>
          <w:lang w:eastAsia="en-US"/>
        </w:rPr>
        <w:t>一、研修内容及目标</w:t>
      </w:r>
    </w:p>
    <w:p>
      <w:pPr>
        <w:autoSpaceDE w:val="0"/>
        <w:autoSpaceDN w:val="0"/>
        <w:spacing w:line="540" w:lineRule="exact"/>
        <w:ind w:left="133" w:right="424"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以习近平新时代中国特色社会主义思想为指导，深入学习贯彻党的十九大和十九届二中、三中、四中全会精神，认真学习贯彻省第十次党代会和省委十届八次、九次全会精神，把学习习近平新时代中国特色社会主义思想与学习《习近平在厦门》《习近平在宁德》《习近平在福州》《习近平在福建》系列采访实录结 合起来，深入学习研究阐释系列采访实录体现的习近平总书记创新理念和重大实践与习近平新时代中国特色社会主义思想的历 史逻辑、理论逻辑、实践逻辑，学习习近平总书记对福建工作的重要讲话重要指示批示精神，着力加强学习成果转化，大力传承弘扬习近平总书记在福建工作时创造的宝贵思想财富、精神财富和实践成果，为决胜全面建成小康社会、决战脱贫攻坚，全方位推动高质量发展超越提供有力的思想保证和理论支撑。</w:t>
      </w:r>
    </w:p>
    <w:p>
      <w:pPr>
        <w:autoSpaceDE w:val="0"/>
        <w:autoSpaceDN w:val="0"/>
        <w:spacing w:line="540" w:lineRule="exact"/>
        <w:ind w:left="774"/>
        <w:rPr>
          <w:rFonts w:ascii="仿宋_GB2312" w:hAnsi="宋体" w:eastAsia="仿宋_GB2312" w:cs="宋体"/>
          <w:b/>
          <w:kern w:val="0"/>
          <w:sz w:val="30"/>
          <w:szCs w:val="30"/>
          <w:lang w:eastAsia="en-US"/>
        </w:rPr>
      </w:pPr>
      <w:r>
        <w:rPr>
          <w:rFonts w:hint="eastAsia" w:ascii="仿宋_GB2312" w:hAnsi="宋体" w:eastAsia="仿宋_GB2312" w:cs="宋体"/>
          <w:b/>
          <w:w w:val="95"/>
          <w:kern w:val="0"/>
          <w:sz w:val="30"/>
          <w:szCs w:val="30"/>
          <w:lang w:eastAsia="en-US"/>
        </w:rPr>
        <w:t>二、研修期次安排</w:t>
      </w:r>
    </w:p>
    <w:p>
      <w:pPr>
        <w:autoSpaceDE w:val="0"/>
        <w:autoSpaceDN w:val="0"/>
        <w:spacing w:line="540" w:lineRule="exact"/>
        <w:ind w:left="760"/>
        <w:outlineLvl w:val="1"/>
        <w:rPr>
          <w:rFonts w:ascii="仿宋_GB2312" w:hAnsi="宋体" w:eastAsia="仿宋_GB2312" w:cs="宋体"/>
          <w:b/>
          <w:spacing w:val="-6"/>
          <w:kern w:val="0"/>
          <w:sz w:val="30"/>
          <w:szCs w:val="30"/>
          <w:lang w:eastAsia="en-US"/>
        </w:rPr>
      </w:pPr>
      <w:r>
        <w:rPr>
          <w:rFonts w:hint="eastAsia" w:ascii="仿宋_GB2312" w:hAnsi="宋体" w:eastAsia="仿宋_GB2312" w:cs="宋体"/>
          <w:b/>
          <w:spacing w:val="-6"/>
          <w:kern w:val="0"/>
          <w:sz w:val="30"/>
          <w:szCs w:val="30"/>
          <w:lang w:eastAsia="en-US"/>
        </w:rPr>
        <w:t>（一）期次和班额</w:t>
      </w:r>
    </w:p>
    <w:p>
      <w:pPr>
        <w:autoSpaceDE w:val="0"/>
        <w:autoSpaceDN w:val="0"/>
        <w:spacing w:line="540" w:lineRule="exact"/>
        <w:ind w:left="133" w:right="268"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2020 年研修 1 期（第四轮第一期），计划研修 750 人左右， 采用线上培训方式，依托“福建干部网络学院”平台组织实施。</w:t>
      </w:r>
    </w:p>
    <w:p>
      <w:pPr>
        <w:autoSpaceDE w:val="0"/>
        <w:autoSpaceDN w:val="0"/>
        <w:spacing w:line="540" w:lineRule="exact"/>
        <w:ind w:left="760"/>
        <w:outlineLvl w:val="1"/>
        <w:rPr>
          <w:rFonts w:ascii="仿宋_GB2312" w:hAnsi="宋体" w:eastAsia="仿宋_GB2312" w:cs="宋体"/>
          <w:b/>
          <w:spacing w:val="-6"/>
          <w:kern w:val="0"/>
          <w:sz w:val="30"/>
          <w:szCs w:val="30"/>
          <w:lang w:eastAsia="en-US"/>
        </w:rPr>
      </w:pPr>
      <w:r>
        <w:rPr>
          <w:rFonts w:hint="eastAsia" w:ascii="仿宋_GB2312" w:hAnsi="宋体" w:eastAsia="仿宋_GB2312" w:cs="宋体"/>
          <w:b/>
          <w:spacing w:val="-6"/>
          <w:kern w:val="0"/>
          <w:sz w:val="30"/>
          <w:szCs w:val="30"/>
          <w:lang w:eastAsia="en-US"/>
        </w:rPr>
        <w:t>（二）研修时间</w:t>
      </w:r>
    </w:p>
    <w:p>
      <w:pPr>
        <w:autoSpaceDE w:val="0"/>
        <w:autoSpaceDN w:val="0"/>
        <w:spacing w:line="540" w:lineRule="exact"/>
        <w:ind w:left="133" w:right="268"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研修时间为8月16日—9月15日，研修时长30天，学员须于研修期间在“福建干部网络学院”平台完成必修课、选修课、 分组研讨、研修作业等学习内容，共计 80学时。</w:t>
      </w:r>
    </w:p>
    <w:p>
      <w:pPr>
        <w:autoSpaceDE w:val="0"/>
        <w:autoSpaceDN w:val="0"/>
        <w:spacing w:line="540" w:lineRule="exact"/>
        <w:ind w:left="760"/>
        <w:outlineLvl w:val="1"/>
        <w:rPr>
          <w:rFonts w:ascii="仿宋_GB2312" w:hAnsi="宋体" w:eastAsia="仿宋_GB2312" w:cs="宋体"/>
          <w:b/>
          <w:spacing w:val="-6"/>
          <w:kern w:val="0"/>
          <w:sz w:val="30"/>
          <w:szCs w:val="30"/>
          <w:lang w:eastAsia="en-US"/>
        </w:rPr>
      </w:pPr>
      <w:r>
        <w:rPr>
          <w:rFonts w:hint="eastAsia" w:ascii="仿宋_GB2312" w:hAnsi="宋体" w:eastAsia="仿宋_GB2312" w:cs="宋体"/>
          <w:b/>
          <w:spacing w:val="-6"/>
          <w:kern w:val="0"/>
          <w:sz w:val="30"/>
          <w:szCs w:val="30"/>
          <w:lang w:eastAsia="en-US"/>
        </w:rPr>
        <w:t>（三）结业</w:t>
      </w:r>
    </w:p>
    <w:p>
      <w:pPr>
        <w:autoSpaceDE w:val="0"/>
        <w:autoSpaceDN w:val="0"/>
        <w:spacing w:line="540" w:lineRule="exact"/>
        <w:ind w:left="133" w:right="426"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研修结束后，完成研修学时的学员，由省委党校（福建行政 学院）颁发结业证书。</w:t>
      </w:r>
    </w:p>
    <w:p>
      <w:pPr>
        <w:autoSpaceDE w:val="0"/>
        <w:autoSpaceDN w:val="0"/>
        <w:spacing w:line="540" w:lineRule="exact"/>
        <w:ind w:left="774"/>
        <w:rPr>
          <w:rFonts w:ascii="仿宋_GB2312" w:hAnsi="宋体" w:eastAsia="仿宋_GB2312" w:cs="宋体"/>
          <w:b/>
          <w:spacing w:val="-6"/>
          <w:kern w:val="0"/>
          <w:sz w:val="30"/>
          <w:szCs w:val="30"/>
          <w:lang w:eastAsia="en-US"/>
        </w:rPr>
      </w:pPr>
      <w:r>
        <w:rPr>
          <w:rFonts w:hint="eastAsia" w:ascii="仿宋_GB2312" w:hAnsi="宋体" w:eastAsia="仿宋_GB2312" w:cs="宋体"/>
          <w:b/>
          <w:spacing w:val="-6"/>
          <w:kern w:val="0"/>
          <w:sz w:val="30"/>
          <w:szCs w:val="30"/>
          <w:lang w:eastAsia="en-US"/>
        </w:rPr>
        <w:t>三、教学安排</w:t>
      </w:r>
    </w:p>
    <w:p>
      <w:pPr>
        <w:autoSpaceDE w:val="0"/>
        <w:autoSpaceDN w:val="0"/>
        <w:spacing w:line="540" w:lineRule="exact"/>
        <w:ind w:left="133" w:right="311" w:firstLine="576" w:firstLineChars="200"/>
        <w:rPr>
          <w:rFonts w:ascii="仿宋_GB2312" w:hAnsi="宋体" w:eastAsia="仿宋_GB2312" w:cs="宋体"/>
          <w:spacing w:val="-6"/>
          <w:kern w:val="0"/>
          <w:sz w:val="30"/>
          <w:szCs w:val="30"/>
          <w:lang w:eastAsia="en-US"/>
        </w:rPr>
      </w:pPr>
      <w:r>
        <w:rPr>
          <w:rFonts w:hint="eastAsia" w:ascii="仿宋_GB2312" w:hAnsi="宋体" w:eastAsia="仿宋_GB2312" w:cs="宋体"/>
          <w:spacing w:val="-6"/>
          <w:kern w:val="0"/>
          <w:sz w:val="30"/>
          <w:szCs w:val="30"/>
          <w:lang w:eastAsia="en-US"/>
        </w:rPr>
        <w:t>教学安排主要包括必修课、选修课、专题研讨和研修总结。必修课和选修课从福建干部网络学院课程资源库选取相关专题课程，其中必修课48学时，学员须完成全部课程；选修课34学时，学员须选修完成其中</w:t>
      </w:r>
      <w:bookmarkStart w:id="0" w:name="_GoBack"/>
      <w:bookmarkEnd w:id="0"/>
      <w:r>
        <w:rPr>
          <w:rFonts w:hint="eastAsia" w:ascii="仿宋_GB2312" w:hAnsi="宋体" w:eastAsia="仿宋_GB2312" w:cs="宋体"/>
          <w:spacing w:val="-6"/>
          <w:kern w:val="0"/>
          <w:sz w:val="30"/>
          <w:szCs w:val="30"/>
          <w:lang w:eastAsia="en-US"/>
        </w:rPr>
        <w:t>12学时课程。专题研讨要求学员结合习近平总书记在福建的探索与实践，以及习近平总书记对福建工作的重要讲话重要指示批示精神开展学习研讨。研修总结要求学员围绕研修内容进行认真总结，撰写心得体会、研修报告或理论 文章。</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（一）必修课（48 学时）</w:t>
      </w:r>
    </w:p>
    <w:p>
      <w:pPr>
        <w:spacing w:line="540" w:lineRule="exact"/>
        <w:ind w:firstLine="600" w:firstLineChars="200"/>
        <w:rPr>
          <w:rFonts w:ascii="仿宋_GB2312" w:eastAsia="仿宋_GB2312"/>
          <w:sz w:val="30"/>
          <w:szCs w:val="30"/>
          <w:lang w:eastAsia="en-US"/>
        </w:rPr>
      </w:pPr>
      <w:r>
        <w:rPr>
          <w:rFonts w:hint="eastAsia" w:ascii="仿宋_GB2312" w:eastAsia="仿宋_GB2312"/>
          <w:sz w:val="30"/>
          <w:szCs w:val="30"/>
        </w:rPr>
        <w:t>1.习近平新时代中国特色社会主义思想与治国理政新战略</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主讲：胡鞍钢  清华大学国情研究院院长、教授、博士生导师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2.习近平新时代中国特色社会主义思想概论</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主讲：倪德刚</w:t>
      </w:r>
      <w:r>
        <w:rPr>
          <w:rFonts w:hint="eastAsia" w:ascii="仿宋_GB2312" w:eastAsia="仿宋_GB2312"/>
          <w:sz w:val="30"/>
          <w:szCs w:val="30"/>
        </w:rPr>
        <w:tab/>
      </w:r>
      <w:r>
        <w:rPr>
          <w:rFonts w:hint="eastAsia" w:ascii="仿宋_GB2312" w:eastAsia="仿宋_GB2312"/>
          <w:sz w:val="30"/>
          <w:szCs w:val="30"/>
        </w:rPr>
        <w:t xml:space="preserve"> 中共中央党校（国家行政学院）科学社会主义教研部副主任、教授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3.习近平关于全面深化改革重要论述</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主讲：龚云</w:t>
      </w:r>
      <w:r>
        <w:rPr>
          <w:rFonts w:hint="eastAsia" w:ascii="仿宋_GB2312" w:eastAsia="仿宋_GB2312"/>
          <w:sz w:val="30"/>
          <w:szCs w:val="30"/>
        </w:rPr>
        <w:tab/>
      </w:r>
      <w:r>
        <w:rPr>
          <w:rFonts w:hint="eastAsia" w:ascii="仿宋_GB2312" w:eastAsia="仿宋_GB2312"/>
          <w:sz w:val="30"/>
          <w:szCs w:val="30"/>
        </w:rPr>
        <w:t>中国社会科学院习近平新时代中国特色社会主义思想研究中心执行副主任</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4.意识形态如何凝民心聚共识——习近平总书记关于意识 形态工作的重要论述</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主讲：刘春 中央党校研究生院原副院长、教授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5.用中国理论解决中国问题——学习习近平总书记在哲学 社会科学工作座谈会上重要讲话的体会</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主讲：钟君</w:t>
      </w:r>
      <w:r>
        <w:rPr>
          <w:rFonts w:hint="eastAsia" w:ascii="仿宋_GB2312" w:eastAsia="仿宋_GB2312"/>
          <w:sz w:val="30"/>
          <w:szCs w:val="30"/>
        </w:rPr>
        <w:tab/>
      </w:r>
      <w:r>
        <w:rPr>
          <w:rFonts w:hint="eastAsia" w:ascii="仿宋_GB2312" w:eastAsia="仿宋_GB2312"/>
          <w:sz w:val="30"/>
          <w:szCs w:val="30"/>
        </w:rPr>
        <w:t>中国社会科学院马克思主义研究院研究员</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6.坚持社会主义办学方向 办好人民满意的教育——学习习近平总书记在全国教育大会上的重要讲话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主讲：刘书林</w:t>
      </w:r>
      <w:r>
        <w:rPr>
          <w:rFonts w:hint="eastAsia" w:ascii="仿宋_GB2312" w:eastAsia="仿宋_GB2312"/>
          <w:sz w:val="30"/>
          <w:szCs w:val="30"/>
        </w:rPr>
        <w:tab/>
      </w:r>
      <w:r>
        <w:rPr>
          <w:rFonts w:hint="eastAsia" w:ascii="仿宋_GB2312" w:eastAsia="仿宋_GB2312"/>
          <w:sz w:val="30"/>
          <w:szCs w:val="30"/>
        </w:rPr>
        <w:t>清华大学人文学院原党委副书记、教授、博士生导师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7.学习习近平总书记关于统筹推进常态化疫情防控和经济社会发展工作的重要讲话重要指示批示精神</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主讲：马宝成</w:t>
      </w:r>
      <w:r>
        <w:rPr>
          <w:rFonts w:hint="eastAsia" w:ascii="仿宋_GB2312" w:eastAsia="仿宋_GB2312"/>
          <w:sz w:val="30"/>
          <w:szCs w:val="30"/>
        </w:rPr>
        <w:tab/>
      </w:r>
      <w:r>
        <w:rPr>
          <w:rFonts w:hint="eastAsia" w:ascii="仿宋_GB2312" w:eastAsia="仿宋_GB2312"/>
          <w:sz w:val="30"/>
          <w:szCs w:val="30"/>
        </w:rPr>
        <w:t>中共中央党校（国家行政学院）应急管理培训中心主任、教授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8.法治与国家治理体系和治理能力现代化</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主讲：胡建淼</w:t>
      </w:r>
      <w:r>
        <w:rPr>
          <w:rFonts w:hint="eastAsia" w:ascii="仿宋_GB2312" w:eastAsia="仿宋_GB2312"/>
          <w:sz w:val="30"/>
          <w:szCs w:val="30"/>
        </w:rPr>
        <w:tab/>
      </w:r>
      <w:r>
        <w:rPr>
          <w:rFonts w:hint="eastAsia" w:ascii="仿宋_GB2312" w:eastAsia="仿宋_GB2312"/>
          <w:sz w:val="30"/>
          <w:szCs w:val="30"/>
        </w:rPr>
        <w:t>中共中央党校（国家行政学院）一级教授、博士生导师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9.中国共产党的初建与初心</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主讲：王毅</w:t>
      </w:r>
      <w:r>
        <w:rPr>
          <w:rFonts w:hint="eastAsia" w:ascii="仿宋_GB2312" w:eastAsia="仿宋_GB2312"/>
          <w:sz w:val="30"/>
          <w:szCs w:val="30"/>
        </w:rPr>
        <w:tab/>
      </w:r>
      <w:r>
        <w:rPr>
          <w:rFonts w:hint="eastAsia" w:ascii="仿宋_GB2312" w:eastAsia="仿宋_GB2312"/>
          <w:sz w:val="30"/>
          <w:szCs w:val="30"/>
        </w:rPr>
        <w:t>中共中央党校（国家行政学院）中共党史教研部教授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10.新中国的诞生与社会主义制度的建立</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主讲：陈述</w:t>
      </w:r>
      <w:r>
        <w:rPr>
          <w:rFonts w:hint="eastAsia" w:ascii="仿宋_GB2312" w:eastAsia="仿宋_GB2312"/>
          <w:sz w:val="30"/>
          <w:szCs w:val="30"/>
        </w:rPr>
        <w:tab/>
      </w:r>
      <w:r>
        <w:rPr>
          <w:rFonts w:hint="eastAsia" w:ascii="仿宋_GB2312" w:eastAsia="仿宋_GB2312"/>
          <w:sz w:val="30"/>
          <w:szCs w:val="30"/>
        </w:rPr>
        <w:t>中共中央党校党史教研部教授、博士生导师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11.十一届三中全会与伟大历史转折</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主讲：沈传亮</w:t>
      </w:r>
      <w:r>
        <w:rPr>
          <w:rFonts w:hint="eastAsia" w:ascii="仿宋_GB2312" w:eastAsia="仿宋_GB2312"/>
          <w:sz w:val="30"/>
          <w:szCs w:val="30"/>
        </w:rPr>
        <w:tab/>
      </w:r>
      <w:r>
        <w:rPr>
          <w:rFonts w:hint="eastAsia" w:ascii="仿宋_GB2312" w:eastAsia="仿宋_GB2312"/>
          <w:sz w:val="30"/>
          <w:szCs w:val="30"/>
        </w:rPr>
        <w:t>中共中央党校党史教研部教授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12.决战决胜脱贫攻坚 全面建成小康社会</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主讲：施红</w:t>
      </w:r>
      <w:r>
        <w:rPr>
          <w:rFonts w:hint="eastAsia" w:ascii="仿宋_GB2312" w:eastAsia="仿宋_GB2312"/>
          <w:sz w:val="30"/>
          <w:szCs w:val="30"/>
        </w:rPr>
        <w:tab/>
      </w:r>
      <w:r>
        <w:rPr>
          <w:rFonts w:hint="eastAsia" w:ascii="仿宋_GB2312" w:eastAsia="仿宋_GB2312"/>
          <w:sz w:val="30"/>
          <w:szCs w:val="30"/>
        </w:rPr>
        <w:t>中共中央党校（国家行政学院）经济学教研部区域经济教研室主任、教授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13.当前经济形势与高质量发展</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主讲：张军扩</w:t>
      </w:r>
      <w:r>
        <w:rPr>
          <w:rFonts w:hint="eastAsia" w:ascii="仿宋_GB2312" w:eastAsia="仿宋_GB2312"/>
          <w:sz w:val="30"/>
          <w:szCs w:val="30"/>
        </w:rPr>
        <w:tab/>
      </w:r>
      <w:r>
        <w:rPr>
          <w:rFonts w:hint="eastAsia" w:ascii="仿宋_GB2312" w:eastAsia="仿宋_GB2312"/>
          <w:sz w:val="30"/>
          <w:szCs w:val="30"/>
        </w:rPr>
        <w:t>国务院发展研究中心副主任</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14.把握新时代特征和规律 提高新时代调查研究水平</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主讲：罗平汉</w:t>
      </w:r>
      <w:r>
        <w:rPr>
          <w:rFonts w:hint="eastAsia" w:ascii="仿宋_GB2312" w:eastAsia="仿宋_GB2312"/>
          <w:sz w:val="30"/>
          <w:szCs w:val="30"/>
        </w:rPr>
        <w:tab/>
      </w:r>
      <w:r>
        <w:rPr>
          <w:rFonts w:hint="eastAsia" w:ascii="仿宋_GB2312" w:eastAsia="仿宋_GB2312"/>
          <w:sz w:val="30"/>
          <w:szCs w:val="30"/>
        </w:rPr>
        <w:t>中央党校党史教研部主任</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15.变害为利造福人民——习近平生态文明思想在福建木兰溪的先行探索（中央电视台专题片）</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（二）选修课（选修 12 学时）</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1.发挥好“显著优势”，坚持和完善社会主义基本经济制度， 推动经济高质量发展</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主讲：王小广</w:t>
      </w:r>
      <w:r>
        <w:rPr>
          <w:rFonts w:hint="eastAsia" w:ascii="仿宋_GB2312" w:eastAsia="仿宋_GB2312"/>
          <w:sz w:val="30"/>
          <w:szCs w:val="30"/>
        </w:rPr>
        <w:tab/>
      </w:r>
      <w:r>
        <w:rPr>
          <w:rFonts w:hint="eastAsia" w:ascii="仿宋_GB2312" w:eastAsia="仿宋_GB2312"/>
          <w:sz w:val="30"/>
          <w:szCs w:val="30"/>
        </w:rPr>
        <w:t>中央党校（国家行政学院）经济学部副主任、教授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2.发挥好“显著优势”，坚持和完善党的领导制度体系，提高党科学执政、民主执政、依法执政水平</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主讲：曹鹏飞</w:t>
      </w:r>
      <w:r>
        <w:rPr>
          <w:rFonts w:hint="eastAsia" w:ascii="仿宋_GB2312" w:eastAsia="仿宋_GB2312"/>
          <w:sz w:val="30"/>
          <w:szCs w:val="30"/>
        </w:rPr>
        <w:tab/>
      </w:r>
      <w:r>
        <w:rPr>
          <w:rFonts w:hint="eastAsia" w:ascii="仿宋_GB2312" w:eastAsia="仿宋_GB2312"/>
          <w:sz w:val="30"/>
          <w:szCs w:val="30"/>
        </w:rPr>
        <w:t>中央党校（国家行政学院）党建部教授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3.发挥好“显著优势”，坚持和完善共建共治共享的社会治 理制度，保持社会稳定、维护国家安全</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主讲：丁元竹</w:t>
      </w:r>
      <w:r>
        <w:rPr>
          <w:rFonts w:hint="eastAsia" w:ascii="仿宋_GB2312" w:eastAsia="仿宋_GB2312"/>
          <w:sz w:val="30"/>
          <w:szCs w:val="30"/>
        </w:rPr>
        <w:tab/>
      </w:r>
      <w:r>
        <w:rPr>
          <w:rFonts w:hint="eastAsia" w:ascii="仿宋_GB2312" w:eastAsia="仿宋_GB2312"/>
          <w:sz w:val="30"/>
          <w:szCs w:val="30"/>
        </w:rPr>
        <w:t>中央党校（国家行政学院）社会和生态文明部副主任、教授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4.发挥好“显著优势”，坚持和完善党对人民军队的绝对领导制度，确保人民军队忠实履行新时代使命任务</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主讲：马德宝 军事科学院毛泽东军事思想研究室原主任、研究员</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5.多措并举防范化解意识形态领域重大风险</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主讲：朱继东</w:t>
      </w:r>
      <w:r>
        <w:rPr>
          <w:rFonts w:hint="eastAsia" w:ascii="仿宋_GB2312" w:eastAsia="仿宋_GB2312"/>
          <w:sz w:val="30"/>
          <w:szCs w:val="30"/>
        </w:rPr>
        <w:tab/>
      </w:r>
      <w:r>
        <w:rPr>
          <w:rFonts w:hint="eastAsia" w:ascii="仿宋_GB2312" w:eastAsia="仿宋_GB2312"/>
          <w:sz w:val="30"/>
          <w:szCs w:val="30"/>
        </w:rPr>
        <w:t>中国社会科学院国家文化安全与意识形态建设研究中心副主任兼秘书长</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6.高质量发展需要调整思维方式</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主讲：高培勇</w:t>
      </w:r>
      <w:r>
        <w:rPr>
          <w:rFonts w:hint="eastAsia" w:ascii="仿宋_GB2312" w:eastAsia="仿宋_GB2312"/>
          <w:sz w:val="30"/>
          <w:szCs w:val="30"/>
        </w:rPr>
        <w:tab/>
      </w:r>
      <w:r>
        <w:rPr>
          <w:rFonts w:hint="eastAsia" w:ascii="仿宋_GB2312" w:eastAsia="仿宋_GB2312"/>
          <w:sz w:val="30"/>
          <w:szCs w:val="30"/>
        </w:rPr>
        <w:t>中国社会科学院副院长</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7.区域协调发展的思考与政策建议</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主讲：肖金成</w:t>
      </w:r>
      <w:r>
        <w:rPr>
          <w:rFonts w:hint="eastAsia" w:ascii="仿宋_GB2312" w:eastAsia="仿宋_GB2312"/>
          <w:sz w:val="30"/>
          <w:szCs w:val="30"/>
        </w:rPr>
        <w:tab/>
      </w:r>
      <w:r>
        <w:rPr>
          <w:rFonts w:hint="eastAsia" w:ascii="仿宋_GB2312" w:eastAsia="仿宋_GB2312"/>
          <w:sz w:val="30"/>
          <w:szCs w:val="30"/>
        </w:rPr>
        <w:t>国家发展和改革委员会国土开发与地区经济研究所研究员</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8.乡村振兴与脱贫攻坚的有机衔接及其机制构建</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主讲：张红宇</w:t>
      </w:r>
      <w:r>
        <w:rPr>
          <w:rFonts w:hint="eastAsia" w:ascii="仿宋_GB2312" w:eastAsia="仿宋_GB2312"/>
          <w:sz w:val="30"/>
          <w:szCs w:val="30"/>
        </w:rPr>
        <w:tab/>
      </w:r>
      <w:r>
        <w:rPr>
          <w:rFonts w:hint="eastAsia" w:ascii="仿宋_GB2312" w:eastAsia="仿宋_GB2312"/>
          <w:sz w:val="30"/>
          <w:szCs w:val="30"/>
        </w:rPr>
        <w:t>农业部农村经济体制与经营管理司原司长</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9.坚持和完善城乡统筹的民生保障制度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主讲：王道勇</w:t>
      </w:r>
      <w:r>
        <w:rPr>
          <w:rFonts w:hint="eastAsia" w:ascii="仿宋_GB2312" w:eastAsia="仿宋_GB2312"/>
          <w:sz w:val="30"/>
          <w:szCs w:val="30"/>
        </w:rPr>
        <w:tab/>
      </w:r>
      <w:r>
        <w:rPr>
          <w:rFonts w:hint="eastAsia" w:ascii="仿宋_GB2312" w:eastAsia="仿宋_GB2312"/>
          <w:sz w:val="30"/>
          <w:szCs w:val="30"/>
        </w:rPr>
        <w:t>中共中央党校（国家行政学院）社会和生态文明教研部教授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10.加快健全国家应急管理体系 提高处理急难险重任务能力</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主讲：马宝成</w:t>
      </w:r>
      <w:r>
        <w:rPr>
          <w:rFonts w:hint="eastAsia" w:ascii="仿宋_GB2312" w:eastAsia="仿宋_GB2312"/>
          <w:sz w:val="30"/>
          <w:szCs w:val="30"/>
        </w:rPr>
        <w:tab/>
      </w:r>
      <w:r>
        <w:rPr>
          <w:rFonts w:hint="eastAsia" w:ascii="仿宋_GB2312" w:eastAsia="仿宋_GB2312"/>
          <w:sz w:val="30"/>
          <w:szCs w:val="30"/>
        </w:rPr>
        <w:t>中共中央党校（国家行政学院）应急管理培训中心主任、教授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11.推动我国媒体融合向纵深发展——学习习近平总书记1.25 关于媒体融合发展重要讲话精神</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主讲：黄楚新</w:t>
      </w:r>
      <w:r>
        <w:rPr>
          <w:rFonts w:hint="eastAsia" w:ascii="仿宋_GB2312" w:eastAsia="仿宋_GB2312"/>
          <w:sz w:val="30"/>
          <w:szCs w:val="30"/>
        </w:rPr>
        <w:tab/>
      </w:r>
      <w:r>
        <w:rPr>
          <w:rFonts w:hint="eastAsia" w:ascii="仿宋_GB2312" w:eastAsia="仿宋_GB2312"/>
          <w:sz w:val="30"/>
          <w:szCs w:val="30"/>
        </w:rPr>
        <w:t>中国社会科学院新媒体研究中心副主任、教授</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12.智能制造的基础——数字化和人工智能</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主讲：宁振波</w:t>
      </w:r>
      <w:r>
        <w:rPr>
          <w:rFonts w:hint="eastAsia" w:ascii="仿宋_GB2312" w:eastAsia="仿宋_GB2312"/>
          <w:sz w:val="30"/>
          <w:szCs w:val="30"/>
        </w:rPr>
        <w:tab/>
      </w:r>
      <w:r>
        <w:rPr>
          <w:rFonts w:hint="eastAsia" w:ascii="仿宋_GB2312" w:eastAsia="仿宋_GB2312"/>
          <w:sz w:val="30"/>
          <w:szCs w:val="30"/>
        </w:rPr>
        <w:t>中国航空工业信息技术中心顾问</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（三）专题研讨（12 学时）</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学员分组围绕以下研讨主题开展研讨，每次研讨结束后每个小组提交一份研讨笔记。</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1.《习近平在厦门》《习近平在宁德》《习近平在福州》《习近平在福建》系列采访实录体现的习近平总书记创新理念和重大实践与习近平新时代中国特色社会主义思想的历史逻辑、理论逻辑、实践逻辑</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2.习近平总书记对福建工作的重要讲话重要指示批示精神对新时代新福建建设的重要指导意义</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3.深入学习贯彻习近平总书记在哲学社会科学工作座谈会上重要讲话精神，为加快构建中国特色哲学社会科学，在新时代 新福建建设中创造哲学社会科学发展新业绩</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（四）研修总结（8 学时）</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参加研修的学员围绕研修内容，结合思想实际，进行认真总结，并撰写一份不少于 3000 字的心得体会或提交一份调研报告、理论文章（要求未公开发表），研修结束前提交。</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四、自学原著和文件</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1.《共产党宣言》</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2.《反杜林论》</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3.《在马克思墓前的讲话》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4.《实践论》</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5.《矛盾论》</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6.《改造我们的学习》</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7.《党的十九大报告》</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8.《中国共产党章程》</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9.《习近平谈治国理政》第一、二、三卷</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10.《中共中央关于坚持和完善中国特色社会主义制度、推进国家治理体系和治理能力现代化若干重大问题的决定》</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11.《中华人民共和国民法典》</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12.《习近平在厦门》《习近平在宁德》《习近平在福州》《习近平在福建》系列采访实录</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13.《习近平新时代中国特色社会主义思想三十讲》</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14.《习近平新时代中国特色社会主义思想学习纲要》</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15.《习近平总书记教育重要论述讲义》</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16.《习近平总书记在哲学社会科学工作座谈会上的讲话》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17.《习近平总书记在全国宣传思想工作会议上的讲话》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18.《习近平总书记在全国教育大会上的讲话》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19.《习近平总书记在参加十三届全国人大二次会议福建代表团审议时重要讲话》</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20.《中国制度面对面》</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21.《关于加强和改进新形势下高校思想政治工作的意见》</w:t>
      </w:r>
    </w:p>
    <w:p>
      <w:pPr>
        <w:widowControl/>
        <w:spacing w:line="300" w:lineRule="atLeast"/>
        <w:rPr>
          <w:rFonts w:ascii="黑体" w:hAnsi="黑体" w:eastAsia="黑体" w:cs="宋体"/>
          <w:color w:val="000000"/>
          <w:sz w:val="32"/>
          <w:szCs w:val="32"/>
        </w:rPr>
      </w:pPr>
    </w:p>
    <w:p>
      <w:pPr>
        <w:widowControl/>
        <w:spacing w:line="300" w:lineRule="atLeast"/>
        <w:rPr>
          <w:rFonts w:ascii="黑体" w:hAnsi="黑体" w:eastAsia="黑体" w:cs="宋体"/>
          <w:color w:val="000000"/>
          <w:sz w:val="32"/>
          <w:szCs w:val="32"/>
        </w:rPr>
      </w:pPr>
    </w:p>
    <w:p>
      <w:pPr>
        <w:widowControl/>
        <w:spacing w:line="300" w:lineRule="atLeast"/>
        <w:rPr>
          <w:rFonts w:ascii="黑体" w:hAnsi="黑体" w:eastAsia="黑体" w:cs="宋体"/>
          <w:color w:val="000000"/>
          <w:sz w:val="32"/>
          <w:szCs w:val="32"/>
        </w:rPr>
      </w:pPr>
    </w:p>
    <w:p>
      <w:pPr>
        <w:widowControl/>
        <w:spacing w:line="300" w:lineRule="atLeast"/>
        <w:rPr>
          <w:rFonts w:ascii="黑体" w:hAnsi="黑体" w:eastAsia="黑体" w:cs="宋体"/>
          <w:color w:val="000000"/>
          <w:sz w:val="32"/>
          <w:szCs w:val="32"/>
        </w:rPr>
      </w:pPr>
    </w:p>
    <w:p>
      <w:pPr>
        <w:widowControl/>
        <w:spacing w:line="300" w:lineRule="atLeast"/>
        <w:rPr>
          <w:rFonts w:ascii="黑体" w:hAnsi="黑体" w:eastAsia="黑体" w:cs="宋体"/>
          <w:color w:val="00000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3606800</wp:posOffset>
              </wp:positionH>
              <wp:positionV relativeFrom="page">
                <wp:posOffset>9790430</wp:posOffset>
              </wp:positionV>
              <wp:extent cx="272415" cy="152400"/>
              <wp:effectExtent l="0" t="0" r="0" b="127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2415" cy="152400"/>
                      </a:xfrm>
                      <a:prstGeom prst="rect">
                        <a:avLst/>
                      </a:prstGeom>
                      <a:noFill/>
                      <a:ln>
                        <a:noFill/>
                      </a:ln>
                    </wps:spPr>
                    <wps:txbx>
                      <w:txbxContent>
                        <w:p>
                          <w:pPr>
                            <w:spacing w:before="12"/>
                            <w:ind w:left="20"/>
                            <w:rPr>
                              <w:rFonts w:ascii="Times New Roman"/>
                              <w:sz w:val="18"/>
                            </w:rPr>
                          </w:pPr>
                          <w:r>
                            <w:rPr>
                              <w:rFonts w:ascii="Times New Roman"/>
                              <w:sz w:val="18"/>
                            </w:rPr>
                            <w:t xml:space="preserve">- </w:t>
                          </w:r>
                          <w:r>
                            <w:fldChar w:fldCharType="begin"/>
                          </w:r>
                          <w:r>
                            <w:rPr>
                              <w:rFonts w:ascii="Times New Roman"/>
                              <w:sz w:val="18"/>
                            </w:rPr>
                            <w:instrText xml:space="preserve"> PAGE </w:instrText>
                          </w:r>
                          <w:r>
                            <w:fldChar w:fldCharType="separate"/>
                          </w:r>
                          <w:r>
                            <w:rPr>
                              <w:rFonts w:ascii="Times New Roman"/>
                              <w:sz w:val="18"/>
                            </w:rPr>
                            <w:t>2</w:t>
                          </w:r>
                          <w:r>
                            <w:fldChar w:fldCharType="end"/>
                          </w:r>
                          <w:r>
                            <w:rPr>
                              <w:rFonts w:ascii="Times New Roman"/>
                              <w:sz w:val="18"/>
                            </w:rPr>
                            <w:t xml:space="preserve"> -</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84pt;margin-top:770.9pt;height:12pt;width:21.45pt;mso-position-horizontal-relative:page;mso-position-vertical-relative:page;z-index:-251657216;mso-width-relative:page;mso-height-relative:page;" filled="f" stroked="f" coordsize="21600,21600" o:gfxdata="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SV+G2gAAAA0BAAAPAAAAAAAAAAEAIAAAACIAAABkcnMvZG93bnJldi54bWxQSwECFAAU&#10;AAAACACHTuJAROkWyO8BAAC2AwAADgAAAAAAAAABACAAAAApAQAAZHJzL2Uyb0RvYy54bWxQSwUG&#10;AAAAAAYABgBZAQAAigU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 xml:space="preserve">- </w:t>
                    </w:r>
                    <w:r>
                      <w:fldChar w:fldCharType="begin"/>
                    </w:r>
                    <w:r>
                      <w:rPr>
                        <w:rFonts w:ascii="Times New Roman"/>
                        <w:sz w:val="18"/>
                      </w:rPr>
                      <w:instrText xml:space="preserve"> PAGE </w:instrText>
                    </w:r>
                    <w:r>
                      <w:fldChar w:fldCharType="separate"/>
                    </w:r>
                    <w:r>
                      <w:rPr>
                        <w:rFonts w:ascii="Times New Roman"/>
                        <w:sz w:val="18"/>
                      </w:rPr>
                      <w:t>2</w:t>
                    </w:r>
                    <w:r>
                      <w:fldChar w:fldCharType="end"/>
                    </w:r>
                    <w:r>
                      <w:rPr>
                        <w:rFonts w:ascii="Times New Roman"/>
                        <w:sz w:val="1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BC5"/>
    <w:rsid w:val="00156BC5"/>
    <w:rsid w:val="00324070"/>
    <w:rsid w:val="0091423A"/>
    <w:rsid w:val="00AF6539"/>
    <w:rsid w:val="4A547F0E"/>
    <w:rsid w:val="5D622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semiHidden/>
    <w:unhideWhenUsed/>
    <w:uiPriority w:val="99"/>
    <w:pPr>
      <w:spacing w:after="120"/>
    </w:pPr>
  </w:style>
  <w:style w:type="character" w:customStyle="1" w:styleId="5">
    <w:name w:val="正文文本 Char"/>
    <w:basedOn w:val="4"/>
    <w:link w:val="2"/>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500</Words>
  <Characters>2850</Characters>
  <Lines>23</Lines>
  <Paragraphs>6</Paragraphs>
  <TotalTime>2</TotalTime>
  <ScaleCrop>false</ScaleCrop>
  <LinksUpToDate>false</LinksUpToDate>
  <CharactersWithSpaces>3344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2020-08-04T03:49:00Z</dcterms:created>
  <dc:creator>xb21cn</dc:creator>
  <cp:lastModifiedBy>smallfishball</cp:lastModifiedBy>
  <dcterms:modified xsi:type="dcterms:W3CDTF">2020-08-08T02:00:04Z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